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17" w:rsidRPr="003327AC" w:rsidRDefault="00B06217" w:rsidP="00B06217">
      <w:pPr>
        <w:spacing w:line="440" w:lineRule="exact"/>
        <w:ind w:right="1280"/>
        <w:rPr>
          <w:rFonts w:ascii="仿宋" w:eastAsia="仿宋" w:hAnsi="仿宋"/>
          <w:b/>
          <w:sz w:val="32"/>
          <w:szCs w:val="32"/>
        </w:rPr>
      </w:pPr>
    </w:p>
    <w:p w:rsidR="00B06217" w:rsidRPr="003327AC" w:rsidRDefault="00B06217" w:rsidP="00B06217">
      <w:pPr>
        <w:spacing w:line="440" w:lineRule="exact"/>
        <w:ind w:firstLineChars="200" w:firstLine="723"/>
        <w:jc w:val="center"/>
        <w:rPr>
          <w:rFonts w:ascii="方正小标宋_GBK" w:eastAsia="方正小标宋_GBK" w:hAnsi="华文中宋"/>
          <w:b/>
          <w:sz w:val="36"/>
        </w:rPr>
      </w:pPr>
      <w:r w:rsidRPr="003327AC">
        <w:rPr>
          <w:rFonts w:ascii="方正小标宋_GBK" w:eastAsia="方正小标宋_GBK" w:hAnsi="华文中宋" w:hint="eastAsia"/>
          <w:b/>
          <w:sz w:val="36"/>
        </w:rPr>
        <w:t>江苏省中国科学院植物研究所</w:t>
      </w:r>
    </w:p>
    <w:p w:rsidR="00B06217" w:rsidRPr="003327AC" w:rsidRDefault="00B06217" w:rsidP="00B06217">
      <w:pPr>
        <w:spacing w:line="440" w:lineRule="exact"/>
        <w:ind w:firstLineChars="200" w:firstLine="723"/>
        <w:rPr>
          <w:rFonts w:ascii="方正小标宋_GBK" w:eastAsia="方正小标宋_GBK" w:hAnsi="华文中宋"/>
          <w:b/>
          <w:sz w:val="36"/>
        </w:rPr>
      </w:pPr>
      <w:r w:rsidRPr="003327AC">
        <w:rPr>
          <w:rFonts w:ascii="方正小标宋_GBK" w:eastAsia="方正小标宋_GBK" w:hAnsi="华文中宋" w:hint="eastAsia"/>
          <w:b/>
          <w:sz w:val="36"/>
        </w:rPr>
        <w:t>公开招聘专业技术人员综合评议参考标准（试行）</w:t>
      </w:r>
    </w:p>
    <w:p w:rsidR="00B06217" w:rsidRPr="003327AC" w:rsidRDefault="00B06217" w:rsidP="00B06217">
      <w:pPr>
        <w:spacing w:line="440" w:lineRule="exact"/>
        <w:rPr>
          <w:rFonts w:ascii="华文中宋" w:eastAsia="华文中宋" w:hAnsi="华文中宋"/>
          <w:b/>
          <w:sz w:val="36"/>
        </w:rPr>
      </w:pPr>
    </w:p>
    <w:p w:rsidR="00B06217" w:rsidRPr="003327AC" w:rsidRDefault="00B06217" w:rsidP="00B06217">
      <w:pPr>
        <w:spacing w:line="440" w:lineRule="exact"/>
        <w:rPr>
          <w:rFonts w:ascii="华文中宋" w:eastAsia="华文中宋" w:hAnsi="华文中宋"/>
          <w:b/>
          <w:sz w:val="36"/>
        </w:rPr>
      </w:pP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bCs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bCs/>
          <w:sz w:val="30"/>
          <w:szCs w:val="30"/>
        </w:rPr>
        <w:t>一</w:t>
      </w:r>
      <w:r w:rsidRPr="003327AC">
        <w:rPr>
          <w:rFonts w:ascii="仿宋" w:eastAsia="仿宋" w:hAnsi="仿宋" w:cstheme="minorBidi"/>
          <w:b/>
          <w:bCs/>
          <w:sz w:val="30"/>
          <w:szCs w:val="30"/>
        </w:rPr>
        <w:t>、</w:t>
      </w:r>
      <w:r w:rsidRPr="003327AC">
        <w:rPr>
          <w:rFonts w:ascii="仿宋" w:eastAsia="仿宋" w:hAnsi="仿宋" w:cstheme="minorBidi" w:hint="eastAsia"/>
          <w:b/>
          <w:bCs/>
          <w:sz w:val="30"/>
          <w:szCs w:val="30"/>
        </w:rPr>
        <w:t>专业经历（满分：</w:t>
      </w:r>
      <w:r w:rsidRPr="003327AC">
        <w:rPr>
          <w:rFonts w:ascii="仿宋" w:eastAsia="仿宋" w:hAnsi="仿宋" w:cstheme="minorBidi"/>
          <w:b/>
          <w:bCs/>
          <w:sz w:val="30"/>
          <w:szCs w:val="30"/>
        </w:rPr>
        <w:t>2</w:t>
      </w:r>
      <w:r w:rsidRPr="003327AC">
        <w:rPr>
          <w:rFonts w:ascii="仿宋" w:eastAsia="仿宋" w:hAnsi="仿宋" w:cstheme="minorBidi" w:hint="eastAsia"/>
          <w:b/>
          <w:bCs/>
          <w:sz w:val="30"/>
          <w:szCs w:val="30"/>
        </w:rPr>
        <w:t>0分）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sz w:val="30"/>
          <w:szCs w:val="30"/>
        </w:rPr>
        <w:t>对应聘人员的专业学习和工作经历、学位论文及承担科研项目的内容、理论或应用意义、创新性等情况进行综合评议，评估应聘人员的专业基础。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sz w:val="30"/>
          <w:szCs w:val="30"/>
        </w:rPr>
        <w:t>综合评议计分标准为：优秀</w:t>
      </w:r>
      <w:r w:rsidRPr="003327AC">
        <w:rPr>
          <w:rFonts w:ascii="仿宋" w:eastAsia="仿宋" w:hAnsi="仿宋" w:cstheme="minorBidi"/>
          <w:b/>
          <w:sz w:val="30"/>
          <w:szCs w:val="30"/>
        </w:rPr>
        <w:t>18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</w:t>
      </w:r>
      <w:r w:rsidRPr="003327AC">
        <w:rPr>
          <w:rFonts w:ascii="仿宋" w:eastAsia="仿宋" w:hAnsi="仿宋" w:cstheme="minorBidi"/>
          <w:b/>
          <w:sz w:val="30"/>
          <w:szCs w:val="30"/>
        </w:rPr>
        <w:t>2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0分，良好</w:t>
      </w:r>
      <w:r w:rsidRPr="003327AC">
        <w:rPr>
          <w:rFonts w:ascii="仿宋" w:eastAsia="仿宋" w:hAnsi="仿宋" w:cstheme="minorBidi"/>
          <w:b/>
          <w:sz w:val="30"/>
          <w:szCs w:val="30"/>
        </w:rPr>
        <w:t>14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</w:t>
      </w:r>
      <w:r w:rsidRPr="003327AC">
        <w:rPr>
          <w:rFonts w:ascii="仿宋" w:eastAsia="仿宋" w:hAnsi="仿宋" w:cstheme="minorBidi"/>
          <w:b/>
          <w:sz w:val="30"/>
          <w:szCs w:val="30"/>
        </w:rPr>
        <w:t>17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分，一般</w:t>
      </w:r>
      <w:r w:rsidRPr="003327AC">
        <w:rPr>
          <w:rFonts w:ascii="仿宋" w:eastAsia="仿宋" w:hAnsi="仿宋" w:cstheme="minorBidi"/>
          <w:b/>
          <w:sz w:val="30"/>
          <w:szCs w:val="30"/>
        </w:rPr>
        <w:t>10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-1</w:t>
      </w:r>
      <w:r w:rsidRPr="003327AC">
        <w:rPr>
          <w:rFonts w:ascii="仿宋" w:eastAsia="仿宋" w:hAnsi="仿宋" w:cstheme="minorBidi"/>
          <w:b/>
          <w:sz w:val="30"/>
          <w:szCs w:val="30"/>
        </w:rPr>
        <w:t>3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分。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bCs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bCs/>
          <w:sz w:val="30"/>
          <w:szCs w:val="30"/>
        </w:rPr>
        <w:t>二、业务能力（满分：</w:t>
      </w:r>
      <w:r w:rsidRPr="003327AC">
        <w:rPr>
          <w:rFonts w:ascii="仿宋" w:eastAsia="仿宋" w:hAnsi="仿宋" w:cstheme="minorBidi"/>
          <w:b/>
          <w:bCs/>
          <w:sz w:val="30"/>
          <w:szCs w:val="30"/>
        </w:rPr>
        <w:t>5</w:t>
      </w:r>
      <w:r w:rsidRPr="003327AC">
        <w:rPr>
          <w:rFonts w:ascii="仿宋" w:eastAsia="仿宋" w:hAnsi="仿宋" w:cstheme="minorBidi" w:hint="eastAsia"/>
          <w:b/>
          <w:bCs/>
          <w:sz w:val="30"/>
          <w:szCs w:val="30"/>
        </w:rPr>
        <w:t>0分）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sz w:val="30"/>
          <w:szCs w:val="30"/>
        </w:rPr>
        <w:t>对应聘人员发表的高质量论文，获得科技奖励、授权专利、新品种等其它代表性科研成果，以及在学习工作期间获得的荣誉称号等情况进行综合评议，评估应聘人员的发展潜力。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sz w:val="30"/>
          <w:szCs w:val="30"/>
        </w:rPr>
        <w:t>综合评议计分标准为：优秀</w:t>
      </w:r>
      <w:r w:rsidRPr="003327AC">
        <w:rPr>
          <w:rFonts w:ascii="仿宋" w:eastAsia="仿宋" w:hAnsi="仿宋" w:cstheme="minorBidi"/>
          <w:b/>
          <w:sz w:val="30"/>
          <w:szCs w:val="30"/>
        </w:rPr>
        <w:t>44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</w:t>
      </w:r>
      <w:r w:rsidRPr="003327AC">
        <w:rPr>
          <w:rFonts w:ascii="仿宋" w:eastAsia="仿宋" w:hAnsi="仿宋" w:cstheme="minorBidi"/>
          <w:b/>
          <w:sz w:val="30"/>
          <w:szCs w:val="30"/>
        </w:rPr>
        <w:t>5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0分，良好（国内领先）水平</w:t>
      </w:r>
      <w:r w:rsidRPr="003327AC">
        <w:rPr>
          <w:rFonts w:ascii="仿宋" w:eastAsia="仿宋" w:hAnsi="仿宋" w:cstheme="minorBidi"/>
          <w:b/>
          <w:sz w:val="30"/>
          <w:szCs w:val="30"/>
        </w:rPr>
        <w:t>35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</w:t>
      </w:r>
      <w:r w:rsidRPr="003327AC">
        <w:rPr>
          <w:rFonts w:ascii="仿宋" w:eastAsia="仿宋" w:hAnsi="仿宋" w:cstheme="minorBidi"/>
          <w:b/>
          <w:sz w:val="30"/>
          <w:szCs w:val="30"/>
        </w:rPr>
        <w:t>43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分，一般水平</w:t>
      </w:r>
      <w:r w:rsidRPr="003327AC">
        <w:rPr>
          <w:rFonts w:ascii="仿宋" w:eastAsia="仿宋" w:hAnsi="仿宋" w:cstheme="minorBidi"/>
          <w:b/>
          <w:sz w:val="30"/>
          <w:szCs w:val="30"/>
        </w:rPr>
        <w:t>20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</w:t>
      </w:r>
      <w:r w:rsidRPr="003327AC">
        <w:rPr>
          <w:rFonts w:ascii="仿宋" w:eastAsia="仿宋" w:hAnsi="仿宋" w:cstheme="minorBidi"/>
          <w:b/>
          <w:sz w:val="30"/>
          <w:szCs w:val="30"/>
        </w:rPr>
        <w:t>34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分。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bCs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bCs/>
          <w:sz w:val="30"/>
          <w:szCs w:val="30"/>
        </w:rPr>
        <w:t>三、岗位适配度（满分：</w:t>
      </w:r>
      <w:r w:rsidRPr="003327AC">
        <w:rPr>
          <w:rFonts w:ascii="仿宋" w:eastAsia="仿宋" w:hAnsi="仿宋" w:cstheme="minorBidi"/>
          <w:b/>
          <w:bCs/>
          <w:sz w:val="30"/>
          <w:szCs w:val="30"/>
        </w:rPr>
        <w:t>3</w:t>
      </w:r>
      <w:r w:rsidRPr="003327AC">
        <w:rPr>
          <w:rFonts w:ascii="仿宋" w:eastAsia="仿宋" w:hAnsi="仿宋" w:cstheme="minorBidi" w:hint="eastAsia"/>
          <w:b/>
          <w:bCs/>
          <w:sz w:val="30"/>
          <w:szCs w:val="30"/>
        </w:rPr>
        <w:t>0分）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sz w:val="30"/>
          <w:szCs w:val="30"/>
        </w:rPr>
        <w:t>对应聘人员的专业背景、研究方向等情况与招聘岗位的需求、团队总体人才结构的适配程度进行综合评议，评估应聘人员的岗位适配性。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sz w:val="30"/>
          <w:szCs w:val="30"/>
        </w:rPr>
        <w:t>综合评议计分标准为：完全匹配</w:t>
      </w:r>
      <w:r w:rsidRPr="003327AC">
        <w:rPr>
          <w:rFonts w:ascii="仿宋" w:eastAsia="仿宋" w:hAnsi="仿宋" w:cstheme="minorBidi"/>
          <w:b/>
          <w:sz w:val="30"/>
          <w:szCs w:val="30"/>
        </w:rPr>
        <w:t>2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6-</w:t>
      </w:r>
      <w:r w:rsidRPr="003327AC">
        <w:rPr>
          <w:rFonts w:ascii="仿宋" w:eastAsia="仿宋" w:hAnsi="仿宋" w:cstheme="minorBidi"/>
          <w:b/>
          <w:sz w:val="30"/>
          <w:szCs w:val="30"/>
        </w:rPr>
        <w:t>3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0分，基本匹配</w:t>
      </w:r>
      <w:r w:rsidRPr="003327AC">
        <w:rPr>
          <w:rFonts w:ascii="仿宋" w:eastAsia="仿宋" w:hAnsi="仿宋" w:cstheme="minorBidi"/>
          <w:b/>
          <w:sz w:val="30"/>
          <w:szCs w:val="30"/>
        </w:rPr>
        <w:t>21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</w:t>
      </w:r>
      <w:r w:rsidRPr="003327AC">
        <w:rPr>
          <w:rFonts w:ascii="仿宋" w:eastAsia="仿宋" w:hAnsi="仿宋" w:cstheme="minorBidi"/>
          <w:b/>
          <w:sz w:val="30"/>
          <w:szCs w:val="30"/>
        </w:rPr>
        <w:t>2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5分，匹配度较低1</w:t>
      </w:r>
      <w:r w:rsidRPr="003327AC">
        <w:rPr>
          <w:rFonts w:ascii="仿宋" w:eastAsia="仿宋" w:hAnsi="仿宋" w:cstheme="minorBidi"/>
          <w:b/>
          <w:sz w:val="30"/>
          <w:szCs w:val="30"/>
        </w:rPr>
        <w:t>0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-</w:t>
      </w:r>
      <w:r w:rsidRPr="003327AC">
        <w:rPr>
          <w:rFonts w:ascii="仿宋" w:eastAsia="仿宋" w:hAnsi="仿宋" w:cstheme="minorBidi"/>
          <w:b/>
          <w:sz w:val="30"/>
          <w:szCs w:val="30"/>
        </w:rPr>
        <w:t>20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分。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  <w:r w:rsidRPr="003327AC">
        <w:rPr>
          <w:rFonts w:ascii="仿宋" w:eastAsia="仿宋" w:hAnsi="仿宋" w:cstheme="minorBidi" w:hint="eastAsia"/>
          <w:b/>
          <w:sz w:val="30"/>
          <w:szCs w:val="30"/>
        </w:rPr>
        <w:t>综合评议结果达到</w:t>
      </w:r>
      <w:r w:rsidRPr="003327AC">
        <w:rPr>
          <w:rFonts w:ascii="仿宋" w:eastAsia="仿宋" w:hAnsi="仿宋" w:cstheme="minorBidi"/>
          <w:b/>
          <w:sz w:val="30"/>
          <w:szCs w:val="30"/>
        </w:rPr>
        <w:t>70</w:t>
      </w:r>
      <w:r w:rsidRPr="003327AC">
        <w:rPr>
          <w:rFonts w:ascii="仿宋" w:eastAsia="仿宋" w:hAnsi="仿宋" w:cstheme="minorBidi" w:hint="eastAsia"/>
          <w:b/>
          <w:sz w:val="30"/>
          <w:szCs w:val="30"/>
        </w:rPr>
        <w:t>分（合格线）以上，方可列为考试考核</w:t>
      </w:r>
      <w:r>
        <w:rPr>
          <w:rFonts w:ascii="仿宋" w:eastAsia="仿宋" w:hAnsi="仿宋" w:cstheme="minorBidi" w:hint="eastAsia"/>
          <w:b/>
          <w:sz w:val="30"/>
          <w:szCs w:val="30"/>
        </w:rPr>
        <w:t>排名</w:t>
      </w:r>
      <w:bookmarkStart w:id="0" w:name="_GoBack"/>
      <w:bookmarkEnd w:id="0"/>
      <w:r w:rsidRPr="003327AC">
        <w:rPr>
          <w:rFonts w:ascii="仿宋" w:eastAsia="仿宋" w:hAnsi="仿宋" w:cstheme="minorBidi" w:hint="eastAsia"/>
          <w:b/>
          <w:sz w:val="30"/>
          <w:szCs w:val="30"/>
        </w:rPr>
        <w:t>人选。</w:t>
      </w:r>
    </w:p>
    <w:p w:rsidR="00B06217" w:rsidRPr="003327AC" w:rsidRDefault="00B06217" w:rsidP="00B06217">
      <w:pPr>
        <w:spacing w:line="440" w:lineRule="exact"/>
        <w:ind w:firstLineChars="200" w:firstLine="602"/>
        <w:rPr>
          <w:rFonts w:ascii="仿宋" w:eastAsia="仿宋" w:hAnsi="仿宋" w:cstheme="minorBidi"/>
          <w:b/>
          <w:sz w:val="30"/>
          <w:szCs w:val="30"/>
        </w:rPr>
      </w:pPr>
    </w:p>
    <w:p w:rsidR="007829D8" w:rsidRPr="00B06217" w:rsidRDefault="007829D8"/>
    <w:sectPr w:rsidR="007829D8" w:rsidRPr="00B06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17"/>
    <w:rsid w:val="007829D8"/>
    <w:rsid w:val="00B0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429A"/>
  <w15:chartTrackingRefBased/>
  <w15:docId w15:val="{D44AFAC5-22D9-464D-897B-AD51A34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江苏省中国科学院植物研究所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dengfeicnbg@qq.com</dc:creator>
  <cp:keywords/>
  <dc:description/>
  <cp:lastModifiedBy>dengfeicnbg@qq.com</cp:lastModifiedBy>
  <cp:revision>1</cp:revision>
  <dcterms:created xsi:type="dcterms:W3CDTF">2021-07-08T00:42:00Z</dcterms:created>
  <dcterms:modified xsi:type="dcterms:W3CDTF">2021-07-08T00:44:00Z</dcterms:modified>
</cp:coreProperties>
</file>